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4A" w:rsidRPr="0098424A" w:rsidRDefault="0098424A" w:rsidP="0098424A">
      <w:pPr>
        <w:spacing w:after="0" w:line="340" w:lineRule="exact"/>
        <w:jc w:val="center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RESOLUÇÃO CFM Nº 1.938/2010</w:t>
      </w:r>
    </w:p>
    <w:p w:rsidR="0098424A" w:rsidRPr="0098424A" w:rsidRDefault="0098424A" w:rsidP="0098424A">
      <w:pPr>
        <w:spacing w:after="0" w:line="340" w:lineRule="exact"/>
        <w:jc w:val="center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color w:val="000000"/>
          <w:lang w:eastAsia="pt-BR"/>
        </w:rPr>
        <w:t xml:space="preserve">(Publicada no </w:t>
      </w:r>
      <w:proofErr w:type="spellStart"/>
      <w:r w:rsidRPr="0098424A">
        <w:rPr>
          <w:rFonts w:ascii="Arial" w:eastAsia="Times New Roman" w:hAnsi="Arial" w:cs="Arial"/>
          <w:b/>
          <w:color w:val="000000"/>
          <w:lang w:eastAsia="pt-BR"/>
        </w:rPr>
        <w:t>D.O.U.</w:t>
      </w:r>
      <w:proofErr w:type="spellEnd"/>
      <w:r w:rsidRPr="0098424A">
        <w:rPr>
          <w:rFonts w:ascii="Arial" w:eastAsia="Times New Roman" w:hAnsi="Arial" w:cs="Arial"/>
          <w:b/>
          <w:color w:val="000000"/>
          <w:lang w:eastAsia="pt-BR"/>
        </w:rPr>
        <w:t xml:space="preserve"> de </w:t>
      </w:r>
      <w:proofErr w:type="gramStart"/>
      <w:r w:rsidRPr="0098424A">
        <w:rPr>
          <w:rFonts w:ascii="Arial" w:eastAsia="Times New Roman" w:hAnsi="Arial" w:cs="Arial"/>
          <w:b/>
          <w:color w:val="000000"/>
          <w:lang w:eastAsia="pt-BR"/>
        </w:rPr>
        <w:t>5</w:t>
      </w:r>
      <w:proofErr w:type="gramEnd"/>
      <w:r w:rsidRPr="0098424A">
        <w:rPr>
          <w:rFonts w:ascii="Arial" w:eastAsia="Times New Roman" w:hAnsi="Arial" w:cs="Arial"/>
          <w:b/>
          <w:color w:val="000000"/>
          <w:lang w:eastAsia="pt-BR"/>
        </w:rPr>
        <w:t xml:space="preserve"> de fevereiro de 2010, seção I, p. 161)</w:t>
      </w:r>
    </w:p>
    <w:p w:rsidR="0098424A" w:rsidRPr="0098424A" w:rsidRDefault="0098424A" w:rsidP="0098424A">
      <w:pPr>
        <w:spacing w:after="0" w:line="340" w:lineRule="exact"/>
        <w:jc w:val="center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</w:p>
    <w:p w:rsidR="0098424A" w:rsidRPr="0098424A" w:rsidRDefault="0098424A" w:rsidP="0098424A">
      <w:pPr>
        <w:spacing w:before="120" w:after="120" w:line="360" w:lineRule="auto"/>
        <w:ind w:left="3538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Estabelece normas técnicas para regulamentar o diagnóstico e procedimentos terapêuticos da prática </w:t>
      </w:r>
      <w:proofErr w:type="spellStart"/>
      <w:r w:rsidRPr="0098424A">
        <w:rPr>
          <w:rFonts w:ascii="Arial" w:eastAsia="Times New Roman" w:hAnsi="Arial" w:cs="Arial"/>
          <w:sz w:val="24"/>
          <w:szCs w:val="24"/>
          <w:lang w:eastAsia="pt-BR"/>
        </w:rPr>
        <w:t>ortomolecular</w:t>
      </w:r>
      <w:proofErr w:type="spellEnd"/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e biomolecular, obedecendo aos postulados científicos oriundos de estudos clínico-epidemiológicos.</w:t>
      </w:r>
    </w:p>
    <w:p w:rsidR="0098424A" w:rsidRPr="0098424A" w:rsidRDefault="0098424A" w:rsidP="0098424A">
      <w:pPr>
        <w:spacing w:before="120" w:after="120" w:line="360" w:lineRule="auto"/>
        <w:ind w:left="3538" w:right="1065"/>
        <w:jc w:val="both"/>
        <w:rPr>
          <w:rFonts w:ascii="Arial" w:eastAsia="Times New Roman" w:hAnsi="Arial" w:cs="Arial"/>
          <w:sz w:val="4"/>
          <w:szCs w:val="24"/>
          <w:lang w:eastAsia="pt-BR"/>
        </w:rPr>
      </w:pPr>
    </w:p>
    <w:p w:rsidR="0098424A" w:rsidRPr="0098424A" w:rsidRDefault="0098424A" w:rsidP="0098424A">
      <w:pPr>
        <w:tabs>
          <w:tab w:val="left" w:pos="9342"/>
        </w:tabs>
        <w:spacing w:before="120" w:after="120" w:line="360" w:lineRule="auto"/>
        <w:ind w:left="1260" w:right="1065"/>
        <w:jc w:val="both"/>
        <w:rPr>
          <w:rFonts w:ascii="Arial" w:eastAsia="Times New Roman" w:hAnsi="Arial" w:cs="Arial"/>
          <w:spacing w:val="-2"/>
          <w:sz w:val="24"/>
          <w:szCs w:val="24"/>
          <w:lang w:val="af-ZA" w:eastAsia="af-ZA"/>
        </w:rPr>
      </w:pPr>
      <w:r w:rsidRPr="0098424A">
        <w:rPr>
          <w:rFonts w:ascii="Arial" w:eastAsia="Times New Roman" w:hAnsi="Arial" w:cs="Arial"/>
          <w:spacing w:val="1"/>
          <w:sz w:val="24"/>
          <w:szCs w:val="24"/>
          <w:lang w:val="af-ZA" w:eastAsia="af-ZA"/>
        </w:rPr>
        <w:t xml:space="preserve">O </w:t>
      </w:r>
      <w:r w:rsidRPr="0098424A">
        <w:rPr>
          <w:rFonts w:ascii="Arial" w:eastAsia="Times New Roman" w:hAnsi="Arial" w:cs="Arial"/>
          <w:b/>
          <w:spacing w:val="1"/>
          <w:sz w:val="24"/>
          <w:szCs w:val="24"/>
          <w:lang w:val="af-ZA" w:eastAsia="af-ZA"/>
        </w:rPr>
        <w:t>CONSELHO FEDERAL DE MEDICINA</w:t>
      </w:r>
      <w:r w:rsidRPr="0098424A">
        <w:rPr>
          <w:rFonts w:ascii="Arial" w:eastAsia="Times New Roman" w:hAnsi="Arial" w:cs="Arial"/>
          <w:spacing w:val="1"/>
          <w:sz w:val="24"/>
          <w:szCs w:val="24"/>
          <w:lang w:val="af-ZA" w:eastAsia="af-ZA"/>
        </w:rPr>
        <w:t xml:space="preserve">, no uso das atribuições conferidas </w:t>
      </w:r>
      <w:r w:rsidRPr="0098424A">
        <w:rPr>
          <w:rFonts w:ascii="Arial" w:eastAsia="Times New Roman" w:hAnsi="Arial" w:cs="Arial"/>
          <w:spacing w:val="-2"/>
          <w:sz w:val="24"/>
          <w:szCs w:val="24"/>
          <w:lang w:val="af-ZA" w:eastAsia="af-ZA"/>
        </w:rPr>
        <w:t>pela Lei n° 3.268, de 30 de setembro de 1957, regulamentada pelo Decreto n° 44.045, de 19 de julho de 1958, respectiva e posteriormente alterados pela Lei nº 11.000, de 15 de dezembro de 2004, e Decreto nº 6.821, de 14 de abril de 2009, e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que o alvo de toda a atenção do médico é a saúde do ser humano, em benefício da qual deverá agir com o máximo de zelo e o melhor de sua capacidade profissional;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que ao médico cabe zelar e trabalhar pelo perfeito desempenho ético da Medicina e pelo prestígio e bom conceito da profissão;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que é dever do médico guardar absoluto respeito pela saúde e vida do ser humano, sendo-lhe vedado realizar atos não consagrados nos meios acadêmicos ou ainda não aceitos pela comunidade científica;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CONSIDERANDO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que é vedado ao médico divulgar informação sobre assunto médico de forma sensacionalista, promocional ou de conteúdo inverídico;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que é vedado ao médico usar experimentalmente qualquer tipo de terapêutica ainda não liberada para uso em nosso país, sem a devida autorização dos órgãos competentes e sem o consentimento do paciente ou de seu responsável legal, devidamente informados da situação e das possíveis </w:t>
      </w:r>
      <w:proofErr w:type="spellStart"/>
      <w:r w:rsidRPr="0098424A">
        <w:rPr>
          <w:rFonts w:ascii="Arial" w:eastAsia="Times New Roman" w:hAnsi="Arial" w:cs="Arial"/>
          <w:sz w:val="24"/>
          <w:szCs w:val="24"/>
          <w:lang w:eastAsia="pt-BR"/>
        </w:rPr>
        <w:t>consequências</w:t>
      </w:r>
      <w:proofErr w:type="spellEnd"/>
      <w:r w:rsidRPr="0098424A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a crescente divulgação, entre a população, de novos métodos terapêuticos baseados no emprego de substâncias visando o equilíbrio celular, e a insuficiente comprovação científica de algumas dessas propostas;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a existência de extensa literatura científica sobre radicais livres, substâncias antioxidantes e nutrição humana;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a dificuldade da transposição de informações originadas de dados de experimentações realizadas em animais ou em sistemas, órgãos, tecidos e células isoladas para a prática clínica diária;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os riscos potenciais de doses inadequadas de produtos terapêuticos, tais como algumas vitaminas e certos sais minerais;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a necessidade de definir limites de emprego, indicações e critérios científicos para a aplicação de procedimentos associados à prática </w:t>
      </w:r>
      <w:proofErr w:type="spellStart"/>
      <w:r w:rsidRPr="0098424A">
        <w:rPr>
          <w:rFonts w:ascii="Arial" w:eastAsia="Times New Roman" w:hAnsi="Arial" w:cs="Arial"/>
          <w:sz w:val="24"/>
          <w:szCs w:val="24"/>
          <w:lang w:eastAsia="pt-BR"/>
        </w:rPr>
        <w:t>ortomolecular</w:t>
      </w:r>
      <w:proofErr w:type="spellEnd"/>
      <w:r w:rsidRPr="0098424A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CONSIDERANDO 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>o que preceituam as Resoluções n</w:t>
      </w:r>
      <w:r w:rsidRPr="0098424A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os 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>196/96 e 251/97, do Conselho Nacional de Saúde, que, respectivamente, contém as diretrizes e normas regulamentadoras da pesquisa envolvendo seres humanos e dispõe sobre a pesquisa com novos fármacos, medicamentos, vacinas e testes diagnósticos;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o teor das Portarias n</w:t>
      </w:r>
      <w:r w:rsidRPr="0098424A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os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32, 33 e 40/98, da Secretaria de Vigilância Sanitária, que estabelecem normas para níveis de dosagens diárias de vitaminas e minerais em medicamento e a utilização diária pelo usuário;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CONSIDERANDO,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finalmente, o decidido na sessão plenária realizada em 14 de janeiro de 2010,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RESOLVE: 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Os termos prática </w:t>
      </w:r>
      <w:proofErr w:type="spellStart"/>
      <w:r w:rsidRPr="0098424A">
        <w:rPr>
          <w:rFonts w:ascii="Arial" w:eastAsia="Times New Roman" w:hAnsi="Arial" w:cs="Arial"/>
          <w:sz w:val="24"/>
          <w:szCs w:val="24"/>
          <w:lang w:eastAsia="pt-BR"/>
        </w:rPr>
        <w:t>ortomolecular</w:t>
      </w:r>
      <w:proofErr w:type="spellEnd"/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e biomolecular, habitualmente empregados, serão considerados equivalentes quando referidos à prática clínica que visa atingir o equilíbrio entre as células e as moléculas do corpo humano.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2º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A prática </w:t>
      </w:r>
      <w:proofErr w:type="spellStart"/>
      <w:r w:rsidRPr="0098424A">
        <w:rPr>
          <w:rFonts w:ascii="Arial" w:eastAsia="Times New Roman" w:hAnsi="Arial" w:cs="Arial"/>
          <w:sz w:val="24"/>
          <w:szCs w:val="24"/>
          <w:lang w:eastAsia="pt-BR"/>
        </w:rPr>
        <w:t>ortomolecular</w:t>
      </w:r>
      <w:proofErr w:type="spellEnd"/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pressupõe o emprego de técnicas que possam avaliar quais nutrientes (vitaminas, minerais, ácidos graxos ou aminoácidos) podem, eventualmente, estar em falta ou em excesso no organismo humano.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3º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A identificação de alguma das deficiências ou excessos mencionados só poderá ser atribuída a erro nutricional ou distúrbio da função digestiva após terem sido investigadas e tratadas as doenças de base concomitantes.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Art. 4º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Medidas higiênicas, dietéticas e de estilo de vida não podem ser substituídas por qualquer tratamento medicamentoso, suplementos de vitaminas, de sais minerais, de ácidos graxos ou aminoácidos.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5º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Os tratamentos da prática </w:t>
      </w:r>
      <w:proofErr w:type="spellStart"/>
      <w:r w:rsidRPr="0098424A">
        <w:rPr>
          <w:rFonts w:ascii="Arial" w:eastAsia="Times New Roman" w:hAnsi="Arial" w:cs="Arial"/>
          <w:sz w:val="24"/>
          <w:szCs w:val="24"/>
          <w:lang w:eastAsia="pt-BR"/>
        </w:rPr>
        <w:t>ortomolecular</w:t>
      </w:r>
      <w:proofErr w:type="spellEnd"/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devem obedecer às comprovações embasadas por evidências clínico-epidemiológicas que indiquem efeito terapêutico benéfico;</w:t>
      </w:r>
      <w:r w:rsidRPr="0098424A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6º 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Os tratamentos propostos pela prática </w:t>
      </w:r>
      <w:proofErr w:type="spellStart"/>
      <w:r w:rsidRPr="0098424A">
        <w:rPr>
          <w:rFonts w:ascii="Arial" w:eastAsia="Times New Roman" w:hAnsi="Arial" w:cs="Arial"/>
          <w:sz w:val="24"/>
          <w:szCs w:val="24"/>
          <w:lang w:eastAsia="pt-BR"/>
        </w:rPr>
        <w:t>ortomolecular</w:t>
      </w:r>
      <w:proofErr w:type="spellEnd"/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incluem:</w:t>
      </w:r>
    </w:p>
    <w:p w:rsidR="0098424A" w:rsidRPr="0098424A" w:rsidRDefault="0098424A" w:rsidP="0098424A">
      <w:pPr>
        <w:numPr>
          <w:ilvl w:val="0"/>
          <w:numId w:val="1"/>
        </w:numPr>
        <w:tabs>
          <w:tab w:val="num" w:pos="180"/>
        </w:tabs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Correção nutricional e de hábitos de vida;</w:t>
      </w:r>
    </w:p>
    <w:p w:rsidR="0098424A" w:rsidRPr="0098424A" w:rsidRDefault="0098424A" w:rsidP="0098424A">
      <w:pPr>
        <w:numPr>
          <w:ilvl w:val="0"/>
          <w:numId w:val="1"/>
        </w:numPr>
        <w:tabs>
          <w:tab w:val="num" w:pos="180"/>
        </w:tabs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Reposição medicamentosa das deficiências de nutrientes</w:t>
      </w:r>
      <w:r w:rsidRPr="0098424A">
        <w:rPr>
          <w:rFonts w:ascii="Arial" w:eastAsia="Times New Roman" w:hAnsi="Arial" w:cs="Arial"/>
          <w:b/>
          <w:sz w:val="24"/>
          <w:szCs w:val="24"/>
          <w:lang w:eastAsia="pt-BR"/>
        </w:rPr>
        <w:t>;</w:t>
      </w:r>
    </w:p>
    <w:p w:rsidR="0098424A" w:rsidRPr="0098424A" w:rsidRDefault="0098424A" w:rsidP="0098424A">
      <w:pPr>
        <w:numPr>
          <w:ilvl w:val="0"/>
          <w:numId w:val="1"/>
        </w:numPr>
        <w:tabs>
          <w:tab w:val="num" w:pos="180"/>
        </w:tabs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sz w:val="24"/>
          <w:szCs w:val="24"/>
          <w:lang w:eastAsia="pt-BR"/>
        </w:rPr>
        <w:t>Remoção de minerais, quando em excesso (ex.: ferro</w:t>
      </w:r>
      <w:proofErr w:type="gramStart"/>
      <w:r w:rsidRPr="0098424A">
        <w:rPr>
          <w:rFonts w:ascii="Arial" w:eastAsia="Times New Roman" w:hAnsi="Arial" w:cs="Arial"/>
          <w:sz w:val="24"/>
          <w:szCs w:val="24"/>
          <w:lang w:eastAsia="pt-BR"/>
        </w:rPr>
        <w:t>, cobre</w:t>
      </w:r>
      <w:proofErr w:type="gramEnd"/>
      <w:r w:rsidRPr="0098424A">
        <w:rPr>
          <w:rFonts w:ascii="Arial" w:eastAsia="Times New Roman" w:hAnsi="Arial" w:cs="Arial"/>
          <w:sz w:val="24"/>
          <w:szCs w:val="24"/>
          <w:lang w:eastAsia="pt-BR"/>
        </w:rPr>
        <w:t>), ou de minerais tóxicos (ex.: chumbo, mercúrio, alumínio), agrotóxicos, pesticidas ou aditivos alimentares.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sz w:val="24"/>
          <w:szCs w:val="24"/>
          <w:lang w:eastAsia="pt-BR"/>
        </w:rPr>
        <w:t>Art. 7º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A reposição medicamentosa de comprovadas deficiências de nutrientes se fará de acordo com a existência de nexo causal entre a reposição de nutrientes e a meta terapêutica ou preventiva.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8º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A remoção de minerais, quando em excesso, ou de minerais tóxicos, agrotóxicos, pesticidas ou aditivos alimentares se fará de acordo com os seguintes princípios:</w:t>
      </w:r>
    </w:p>
    <w:p w:rsidR="0098424A" w:rsidRPr="0098424A" w:rsidRDefault="0098424A" w:rsidP="0098424A">
      <w:pPr>
        <w:numPr>
          <w:ilvl w:val="0"/>
          <w:numId w:val="2"/>
        </w:numPr>
        <w:tabs>
          <w:tab w:val="num" w:pos="360"/>
        </w:tabs>
        <w:spacing w:beforeLines="120" w:afterLines="120" w:line="360" w:lineRule="auto"/>
        <w:ind w:left="1260" w:right="1065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sz w:val="24"/>
          <w:szCs w:val="24"/>
          <w:lang w:eastAsia="pt-BR"/>
        </w:rPr>
        <w:t>O excesso de cada substância tóxica deverá ser considerado isoladamente;</w:t>
      </w:r>
    </w:p>
    <w:p w:rsidR="0098424A" w:rsidRPr="0098424A" w:rsidRDefault="0098424A" w:rsidP="0098424A">
      <w:pPr>
        <w:numPr>
          <w:ilvl w:val="0"/>
          <w:numId w:val="2"/>
        </w:numPr>
        <w:tabs>
          <w:tab w:val="num" w:pos="180"/>
        </w:tabs>
        <w:spacing w:beforeLines="120" w:afterLines="120" w:line="360" w:lineRule="auto"/>
        <w:ind w:left="1260" w:right="1065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Existência, na literatura médica, de fundamentação bioquímica e fisiológica sobre o efeito deletério do excesso da substância tóxica considerada, bem como de dados que comprovem a possibilidade de correção efetiva por meio da remoção proposta;</w:t>
      </w:r>
    </w:p>
    <w:p w:rsidR="0098424A" w:rsidRPr="0098424A" w:rsidRDefault="0098424A" w:rsidP="0098424A">
      <w:pPr>
        <w:numPr>
          <w:ilvl w:val="0"/>
          <w:numId w:val="2"/>
        </w:numPr>
        <w:tabs>
          <w:tab w:val="num" w:pos="180"/>
          <w:tab w:val="num" w:pos="360"/>
        </w:tabs>
        <w:spacing w:beforeLines="120" w:afterLines="120" w:line="360" w:lineRule="auto"/>
        <w:ind w:left="1260" w:right="1065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sz w:val="24"/>
          <w:szCs w:val="24"/>
          <w:lang w:eastAsia="pt-BR"/>
        </w:rPr>
        <w:t>Além da melhoria dos parâmetros laboratoriais, deverá haver comprovação científica de utilidade clínica;</w:t>
      </w:r>
    </w:p>
    <w:p w:rsidR="0098424A" w:rsidRPr="0098424A" w:rsidRDefault="0098424A" w:rsidP="0098424A">
      <w:pPr>
        <w:numPr>
          <w:ilvl w:val="0"/>
          <w:numId w:val="2"/>
        </w:numPr>
        <w:tabs>
          <w:tab w:val="num" w:pos="180"/>
          <w:tab w:val="num" w:pos="360"/>
        </w:tabs>
        <w:spacing w:beforeLines="120" w:afterLines="120" w:line="360" w:lineRule="auto"/>
        <w:ind w:left="1260" w:right="1065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sz w:val="24"/>
          <w:szCs w:val="24"/>
          <w:lang w:eastAsia="pt-BR"/>
        </w:rPr>
        <w:t>O valor terapêutico da remoção de determinada substância tóxica deverá ser avaliado para cada tipo de distúrbio.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9º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São destituídos de comprovação científica suficiente quanto ao benefício para o ser humano sadio ou doente, e por essa razão têm vedados o uso e divulgação no exercício da Medicina, os seguintes procedimentos da prática </w:t>
      </w:r>
      <w:proofErr w:type="spellStart"/>
      <w:r w:rsidRPr="0098424A">
        <w:rPr>
          <w:rFonts w:ascii="Arial" w:eastAsia="Times New Roman" w:hAnsi="Arial" w:cs="Arial"/>
          <w:sz w:val="24"/>
          <w:szCs w:val="24"/>
          <w:lang w:eastAsia="pt-BR"/>
        </w:rPr>
        <w:t>ortomolecular</w:t>
      </w:r>
      <w:proofErr w:type="spellEnd"/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e biomolecular, diagnósticos ou terapêuticos, que empregam: </w:t>
      </w:r>
    </w:p>
    <w:p w:rsidR="0098424A" w:rsidRPr="0098424A" w:rsidRDefault="0098424A" w:rsidP="0098424A">
      <w:pPr>
        <w:numPr>
          <w:ilvl w:val="0"/>
          <w:numId w:val="3"/>
        </w:numPr>
        <w:tabs>
          <w:tab w:val="num" w:pos="360"/>
        </w:tabs>
        <w:spacing w:beforeLines="120" w:afterLines="120" w:line="360" w:lineRule="auto"/>
        <w:ind w:left="1260" w:right="1065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sz w:val="24"/>
          <w:szCs w:val="24"/>
          <w:lang w:eastAsia="pt-BR"/>
        </w:rPr>
        <w:t>Para a prevenção primária e secundária, doses de vitaminas, proteínas, sais minerais e lipídios que não respeitem os limites de segurança (</w:t>
      </w:r>
      <w:proofErr w:type="spellStart"/>
      <w:r w:rsidRPr="0098424A">
        <w:rPr>
          <w:rFonts w:ascii="Arial" w:eastAsia="Times New Roman" w:hAnsi="Arial" w:cs="Arial"/>
          <w:sz w:val="24"/>
          <w:szCs w:val="24"/>
          <w:lang w:eastAsia="pt-BR"/>
        </w:rPr>
        <w:t>megadoses</w:t>
      </w:r>
      <w:proofErr w:type="spellEnd"/>
      <w:r w:rsidRPr="0098424A">
        <w:rPr>
          <w:rFonts w:ascii="Arial" w:eastAsia="Times New Roman" w:hAnsi="Arial" w:cs="Arial"/>
          <w:sz w:val="24"/>
          <w:szCs w:val="24"/>
          <w:lang w:eastAsia="pt-BR"/>
        </w:rPr>
        <w:t>), de acordo com as normas nacionais e internacionais e os critérios adotados no art. 5º;</w:t>
      </w:r>
    </w:p>
    <w:p w:rsidR="0098424A" w:rsidRPr="0098424A" w:rsidRDefault="0098424A" w:rsidP="0098424A">
      <w:pPr>
        <w:numPr>
          <w:ilvl w:val="0"/>
          <w:numId w:val="3"/>
        </w:numPr>
        <w:tabs>
          <w:tab w:val="num" w:pos="360"/>
        </w:tabs>
        <w:spacing w:beforeLines="120" w:afterLines="120" w:line="360" w:lineRule="auto"/>
        <w:ind w:left="1260" w:right="1065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EDTA (</w:t>
      </w:r>
      <w:r w:rsidRPr="0098424A">
        <w:rPr>
          <w:rFonts w:ascii="Arial" w:eastAsia="Times New Roman" w:hAnsi="Arial" w:cs="Arial"/>
          <w:sz w:val="24"/>
          <w:szCs w:val="24"/>
          <w:lang w:val="pt-PT" w:eastAsia="pt-BR"/>
        </w:rPr>
        <w:t>ácido etilenodiaminotetracético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>) para remoção de metais tóxicos fora do contexto das intoxicações agudas e crônicas;</w:t>
      </w:r>
      <w:r w:rsidRPr="0098424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</w:p>
    <w:p w:rsidR="0098424A" w:rsidRPr="0098424A" w:rsidRDefault="0098424A" w:rsidP="0098424A">
      <w:pPr>
        <w:numPr>
          <w:ilvl w:val="0"/>
          <w:numId w:val="3"/>
        </w:numPr>
        <w:tabs>
          <w:tab w:val="num" w:pos="360"/>
        </w:tabs>
        <w:spacing w:before="288" w:after="288" w:line="360" w:lineRule="auto"/>
        <w:ind w:left="1260" w:right="1065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O EDTA e a procaína como terapia antienvelhecimento, </w:t>
      </w:r>
      <w:proofErr w:type="spellStart"/>
      <w:r w:rsidRPr="0098424A">
        <w:rPr>
          <w:rFonts w:ascii="Arial" w:eastAsia="Times New Roman" w:hAnsi="Arial" w:cs="Arial"/>
          <w:sz w:val="24"/>
          <w:szCs w:val="24"/>
          <w:lang w:eastAsia="pt-BR"/>
        </w:rPr>
        <w:t>anticâncer</w:t>
      </w:r>
      <w:proofErr w:type="spellEnd"/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8424A">
        <w:rPr>
          <w:rFonts w:ascii="Arial" w:eastAsia="Times New Roman" w:hAnsi="Arial" w:cs="Arial"/>
          <w:sz w:val="24"/>
          <w:szCs w:val="24"/>
          <w:lang w:eastAsia="pt-BR"/>
        </w:rPr>
        <w:t>antiarteriosclerose</w:t>
      </w:r>
      <w:proofErr w:type="spellEnd"/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ou voltadas para patologias crônicas degenerativas;</w:t>
      </w:r>
    </w:p>
    <w:p w:rsidR="0098424A" w:rsidRPr="0098424A" w:rsidRDefault="0098424A" w:rsidP="0098424A">
      <w:pPr>
        <w:numPr>
          <w:ilvl w:val="0"/>
          <w:numId w:val="3"/>
        </w:numPr>
        <w:tabs>
          <w:tab w:val="num" w:pos="360"/>
        </w:tabs>
        <w:spacing w:beforeLines="120" w:afterLines="120" w:line="360" w:lineRule="auto"/>
        <w:ind w:left="1260" w:right="1065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sz w:val="24"/>
          <w:szCs w:val="24"/>
          <w:lang w:eastAsia="pt-BR"/>
        </w:rPr>
        <w:t>Análise do tecido capilar fora do contexto do diagnóstico de contaminação e/ou intoxicação por metais tóxicos;</w:t>
      </w:r>
    </w:p>
    <w:p w:rsidR="0098424A" w:rsidRPr="0098424A" w:rsidRDefault="0098424A" w:rsidP="0098424A">
      <w:pPr>
        <w:numPr>
          <w:ilvl w:val="0"/>
          <w:numId w:val="3"/>
        </w:numPr>
        <w:tabs>
          <w:tab w:val="num" w:pos="360"/>
        </w:tabs>
        <w:spacing w:beforeLines="120" w:afterLines="120" w:line="360" w:lineRule="auto"/>
        <w:ind w:left="1260" w:right="1065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Antioxidantes para melhorar o prognóstico de pacientes com doenças agudas, observadas as situações expressas no art. 5º; </w:t>
      </w:r>
    </w:p>
    <w:p w:rsidR="0098424A" w:rsidRPr="0098424A" w:rsidRDefault="0098424A" w:rsidP="0098424A">
      <w:pPr>
        <w:numPr>
          <w:ilvl w:val="0"/>
          <w:numId w:val="3"/>
        </w:numPr>
        <w:tabs>
          <w:tab w:val="num" w:pos="360"/>
        </w:tabs>
        <w:spacing w:beforeLines="120" w:afterLines="120" w:line="360" w:lineRule="auto"/>
        <w:ind w:left="1260" w:right="1065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sz w:val="24"/>
          <w:szCs w:val="24"/>
          <w:lang w:eastAsia="pt-BR"/>
        </w:rPr>
        <w:t>Antioxidantes que interfiram no mecanismo de ação da quimioterapia e da radioterapia no tratamento de pacientes com câncer;</w:t>
      </w:r>
    </w:p>
    <w:p w:rsidR="0098424A" w:rsidRPr="0098424A" w:rsidRDefault="0098424A" w:rsidP="0098424A">
      <w:pPr>
        <w:numPr>
          <w:ilvl w:val="0"/>
          <w:numId w:val="3"/>
        </w:numPr>
        <w:tabs>
          <w:tab w:val="num" w:pos="360"/>
        </w:tabs>
        <w:spacing w:beforeLines="120" w:afterLines="120" w:line="360" w:lineRule="auto"/>
        <w:ind w:left="1260" w:right="1065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8424A">
        <w:rPr>
          <w:rFonts w:ascii="Arial" w:eastAsia="Times New Roman" w:hAnsi="Arial" w:cs="Arial"/>
          <w:sz w:val="24"/>
          <w:szCs w:val="24"/>
          <w:lang w:eastAsia="pt-BR"/>
        </w:rPr>
        <w:t>Quaisquer terapias antienvelhecimento</w:t>
      </w:r>
      <w:proofErr w:type="gramEnd"/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8424A">
        <w:rPr>
          <w:rFonts w:ascii="Arial" w:eastAsia="Times New Roman" w:hAnsi="Arial" w:cs="Arial"/>
          <w:sz w:val="24"/>
          <w:szCs w:val="24"/>
          <w:lang w:eastAsia="pt-BR"/>
        </w:rPr>
        <w:t>anticâncer</w:t>
      </w:r>
      <w:proofErr w:type="spellEnd"/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98424A">
        <w:rPr>
          <w:rFonts w:ascii="Arial" w:eastAsia="Times New Roman" w:hAnsi="Arial" w:cs="Arial"/>
          <w:sz w:val="24"/>
          <w:szCs w:val="24"/>
          <w:lang w:eastAsia="pt-BR"/>
        </w:rPr>
        <w:t>antiarteriosclerose</w:t>
      </w:r>
      <w:proofErr w:type="spellEnd"/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ou voltadas para doenças crônicas degenerativas, exceto nas situações de deficiências diagnosticadas cuja reposição mostra evidências de benefícios cientificamente comprovados.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</w:t>
      </w:r>
      <w:smartTag w:uri="urn:schemas-microsoft-com:office:smarttags" w:element="metricconverter">
        <w:smartTagPr>
          <w:attr w:name="ProductID" w:val="10 A"/>
          <w:attr w:name="tabIndex" w:val="0"/>
          <w:attr w:name="style" w:val="BACKGROUND-IMAGE: url(res://ietag.dll/#34/#1001); BACKGROUND-REPEAT: repeat-x; BACKGROUND-POSITION: left bottom"/>
        </w:smartTagPr>
        <w:r w:rsidRPr="0098424A">
          <w:rPr>
            <w:rFonts w:ascii="Arial" w:eastAsia="Times New Roman" w:hAnsi="Arial" w:cs="Arial"/>
            <w:b/>
            <w:bCs/>
            <w:sz w:val="24"/>
            <w:szCs w:val="24"/>
            <w:lang w:eastAsia="pt-BR"/>
          </w:rPr>
          <w:t>10</w:t>
        </w:r>
        <w:r w:rsidRPr="0098424A">
          <w:rPr>
            <w:rFonts w:ascii="Arial" w:eastAsia="Times New Roman" w:hAnsi="Arial" w:cs="Arial"/>
            <w:sz w:val="24"/>
            <w:szCs w:val="24"/>
            <w:lang w:eastAsia="pt-BR"/>
          </w:rPr>
          <w:t xml:space="preserve"> A</w:t>
        </w:r>
      </w:smartTag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indicação ou prescrição de medida terapêutica da prática </w:t>
      </w:r>
      <w:proofErr w:type="spellStart"/>
      <w:r w:rsidRPr="0098424A">
        <w:rPr>
          <w:rFonts w:ascii="Arial" w:eastAsia="Times New Roman" w:hAnsi="Arial" w:cs="Arial"/>
          <w:sz w:val="24"/>
          <w:szCs w:val="24"/>
          <w:lang w:eastAsia="pt-BR"/>
        </w:rPr>
        <w:t>ortomolecular</w:t>
      </w:r>
      <w:proofErr w:type="spellEnd"/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ou biomolecular é de exclusiva competência e responsabilidade do médico.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11 </w:t>
      </w:r>
      <w:r w:rsidRPr="0098424A">
        <w:rPr>
          <w:rFonts w:ascii="Arial" w:eastAsia="Times New Roman" w:hAnsi="Arial" w:cs="Arial"/>
          <w:bCs/>
          <w:sz w:val="24"/>
          <w:szCs w:val="24"/>
          <w:lang w:eastAsia="pt-BR"/>
        </w:rPr>
        <w:t>O Conselho Federal de Medicina providenciará, dentro de suas atribuições legais, no prazo de dois anos, a reavaliação da metodologia científica envolvida.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sz w:val="24"/>
          <w:szCs w:val="24"/>
          <w:lang w:eastAsia="pt-BR"/>
        </w:rPr>
        <w:t>Art. 12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Revogam-se todas as disposições em contrário, em especial a Resolução CFM nº 1.500, publicada no Diário Oficial da União, Seção I, página 169, em </w:t>
      </w:r>
      <w:proofErr w:type="gramStart"/>
      <w:r w:rsidRPr="0098424A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de setembro de 1998.</w:t>
      </w:r>
    </w:p>
    <w:p w:rsidR="0098424A" w:rsidRPr="0098424A" w:rsidRDefault="0098424A" w:rsidP="0098424A">
      <w:pPr>
        <w:spacing w:beforeLines="120" w:afterLines="120" w:line="360" w:lineRule="auto"/>
        <w:ind w:left="1260" w:right="106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13</w:t>
      </w:r>
      <w:r w:rsidRPr="0098424A">
        <w:rPr>
          <w:rFonts w:ascii="Arial" w:eastAsia="Times New Roman" w:hAnsi="Arial" w:cs="Arial"/>
          <w:sz w:val="24"/>
          <w:szCs w:val="24"/>
          <w:lang w:eastAsia="pt-BR"/>
        </w:rPr>
        <w:t xml:space="preserve"> Esta resolução entra em vigor na data de sua publicação.</w:t>
      </w:r>
    </w:p>
    <w:p w:rsidR="0098424A" w:rsidRPr="0098424A" w:rsidRDefault="0098424A" w:rsidP="0098424A">
      <w:pPr>
        <w:spacing w:before="120" w:after="120" w:line="360" w:lineRule="auto"/>
        <w:ind w:left="12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8424A">
        <w:rPr>
          <w:rFonts w:ascii="Arial" w:eastAsia="Times New Roman" w:hAnsi="Arial" w:cs="Arial"/>
          <w:sz w:val="24"/>
          <w:szCs w:val="24"/>
          <w:lang w:eastAsia="pt-BR"/>
        </w:rPr>
        <w:t>Brasília-DF, 14 de janeiro de 2010</w:t>
      </w:r>
    </w:p>
    <w:tbl>
      <w:tblPr>
        <w:tblW w:w="0" w:type="auto"/>
        <w:jc w:val="center"/>
        <w:tblLook w:val="01E0"/>
      </w:tblPr>
      <w:tblGrid>
        <w:gridCol w:w="3970"/>
        <w:gridCol w:w="4750"/>
      </w:tblGrid>
      <w:tr w:rsidR="0098424A" w:rsidRPr="0098424A" w:rsidTr="0098424A">
        <w:trPr>
          <w:jc w:val="center"/>
        </w:trPr>
        <w:tc>
          <w:tcPr>
            <w:tcW w:w="4630" w:type="dxa"/>
            <w:hideMark/>
          </w:tcPr>
          <w:p w:rsidR="0098424A" w:rsidRPr="0098424A" w:rsidRDefault="0098424A" w:rsidP="0098424A">
            <w:pPr>
              <w:spacing w:after="0" w:line="240" w:lineRule="auto"/>
              <w:ind w:left="12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24A">
              <w:rPr>
                <w:rFonts w:ascii="Arial" w:eastAsia="Times New Roman" w:hAnsi="Arial" w:cs="Arial"/>
                <w:b/>
                <w:spacing w:val="-5"/>
                <w:sz w:val="24"/>
                <w:szCs w:val="24"/>
                <w:lang w:val="af-ZA" w:eastAsia="af-ZA"/>
              </w:rPr>
              <w:t>ROBERTO LUIZ D’AVILA</w:t>
            </w:r>
          </w:p>
        </w:tc>
        <w:tc>
          <w:tcPr>
            <w:tcW w:w="5768" w:type="dxa"/>
            <w:hideMark/>
          </w:tcPr>
          <w:p w:rsidR="0098424A" w:rsidRPr="0098424A" w:rsidRDefault="0098424A" w:rsidP="0098424A">
            <w:pPr>
              <w:tabs>
                <w:tab w:val="left" w:pos="5796"/>
              </w:tabs>
              <w:spacing w:after="0" w:line="240" w:lineRule="auto"/>
              <w:ind w:left="1260"/>
              <w:jc w:val="center"/>
              <w:rPr>
                <w:rFonts w:ascii="Arial" w:eastAsia="Times New Roman" w:hAnsi="Arial" w:cs="Arial"/>
                <w:b/>
                <w:spacing w:val="-5"/>
                <w:sz w:val="24"/>
                <w:szCs w:val="24"/>
                <w:lang w:val="af-ZA" w:eastAsia="af-ZA"/>
              </w:rPr>
            </w:pPr>
            <w:r w:rsidRPr="0098424A">
              <w:rPr>
                <w:rFonts w:ascii="Arial" w:eastAsia="Times New Roman" w:hAnsi="Arial" w:cs="Arial"/>
                <w:b/>
                <w:spacing w:val="-5"/>
                <w:sz w:val="24"/>
                <w:szCs w:val="24"/>
                <w:lang w:val="af-ZA" w:eastAsia="af-ZA"/>
              </w:rPr>
              <w:t>HENRIQUE BATISTA E SILVA</w:t>
            </w:r>
          </w:p>
        </w:tc>
      </w:tr>
      <w:tr w:rsidR="0098424A" w:rsidRPr="0098424A" w:rsidTr="0098424A">
        <w:trPr>
          <w:jc w:val="center"/>
        </w:trPr>
        <w:tc>
          <w:tcPr>
            <w:tcW w:w="4630" w:type="dxa"/>
            <w:hideMark/>
          </w:tcPr>
          <w:p w:rsidR="0098424A" w:rsidRPr="0098424A" w:rsidRDefault="0098424A" w:rsidP="0098424A">
            <w:pPr>
              <w:spacing w:after="0" w:line="240" w:lineRule="auto"/>
              <w:ind w:left="12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24A">
              <w:rPr>
                <w:rFonts w:ascii="Arial" w:eastAsia="Times New Roman" w:hAnsi="Arial" w:cs="Arial"/>
                <w:spacing w:val="-3"/>
                <w:sz w:val="24"/>
                <w:szCs w:val="24"/>
                <w:lang w:val="af-ZA" w:eastAsia="af-ZA"/>
              </w:rPr>
              <w:t>Presidente</w:t>
            </w:r>
          </w:p>
        </w:tc>
        <w:tc>
          <w:tcPr>
            <w:tcW w:w="5768" w:type="dxa"/>
            <w:hideMark/>
          </w:tcPr>
          <w:p w:rsidR="0098424A" w:rsidRPr="0098424A" w:rsidRDefault="0098424A" w:rsidP="0098424A">
            <w:pPr>
              <w:spacing w:after="0" w:line="240" w:lineRule="auto"/>
              <w:ind w:left="12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8424A">
              <w:rPr>
                <w:rFonts w:ascii="Arial" w:eastAsia="Times New Roman" w:hAnsi="Arial" w:cs="Arial"/>
                <w:spacing w:val="-2"/>
                <w:sz w:val="24"/>
                <w:szCs w:val="24"/>
                <w:lang w:val="af-ZA" w:eastAsia="af-ZA"/>
              </w:rPr>
              <w:t>Secretário-geral</w:t>
            </w:r>
          </w:p>
        </w:tc>
      </w:tr>
    </w:tbl>
    <w:p w:rsidR="0098424A" w:rsidRPr="0098424A" w:rsidRDefault="0098424A" w:rsidP="0098424A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424A" w:rsidRDefault="0098424A"/>
    <w:sectPr w:rsidR="00984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D8B"/>
    <w:multiLevelType w:val="hybridMultilevel"/>
    <w:tmpl w:val="3B269168"/>
    <w:lvl w:ilvl="0" w:tplc="8734632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446DD"/>
    <w:multiLevelType w:val="hybridMultilevel"/>
    <w:tmpl w:val="8C8681A8"/>
    <w:lvl w:ilvl="0" w:tplc="70A0179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91AE9"/>
    <w:multiLevelType w:val="hybridMultilevel"/>
    <w:tmpl w:val="FE16237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8424A"/>
    <w:rsid w:val="0098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98424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8424A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1158</Words>
  <Characters>6255</Characters>
  <Application>Microsoft Office Word</Application>
  <DocSecurity>0</DocSecurity>
  <Lines>52</Lines>
  <Paragraphs>14</Paragraphs>
  <ScaleCrop>false</ScaleCrop>
  <Company>..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2010-02-05T17:59:00Z</dcterms:created>
  <dcterms:modified xsi:type="dcterms:W3CDTF">2010-02-05T18:00:00Z</dcterms:modified>
</cp:coreProperties>
</file>